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101" w:rsidRDefault="006F7101" w:rsidP="006F7101">
      <w:pPr>
        <w:rPr>
          <w:b/>
          <w:sz w:val="40"/>
          <w:szCs w:val="40"/>
        </w:rPr>
      </w:pPr>
      <w:bookmarkStart w:id="0" w:name="_GoBack"/>
      <w:bookmarkEnd w:id="0"/>
    </w:p>
    <w:p w:rsidR="00E146A9" w:rsidRDefault="00E146A9" w:rsidP="006F7101">
      <w:pPr>
        <w:rPr>
          <w:b/>
          <w:sz w:val="40"/>
          <w:szCs w:val="40"/>
        </w:rPr>
      </w:pPr>
    </w:p>
    <w:p w:rsidR="006F7101" w:rsidRDefault="006F7101" w:rsidP="006F7101">
      <w:pPr>
        <w:rPr>
          <w:b/>
          <w:sz w:val="40"/>
          <w:szCs w:val="40"/>
        </w:rPr>
      </w:pPr>
    </w:p>
    <w:p w:rsidR="006F7101" w:rsidRDefault="006F7101" w:rsidP="006F7101">
      <w:pPr>
        <w:rPr>
          <w:b/>
          <w:sz w:val="40"/>
          <w:szCs w:val="40"/>
        </w:rPr>
      </w:pPr>
    </w:p>
    <w:p w:rsidR="006F7101" w:rsidRDefault="006F7101" w:rsidP="006F7101">
      <w:pPr>
        <w:rPr>
          <w:b/>
          <w:sz w:val="40"/>
          <w:szCs w:val="40"/>
        </w:rPr>
      </w:pPr>
    </w:p>
    <w:p w:rsidR="006F7101" w:rsidRDefault="006F7101" w:rsidP="00E146A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Vyhodnocení SWOT analýzy VŠ zapojených do projektu</w:t>
      </w:r>
      <w:r w:rsidR="00E146A9">
        <w:rPr>
          <w:b/>
          <w:sz w:val="40"/>
          <w:szCs w:val="40"/>
        </w:rPr>
        <w:t xml:space="preserve"> KREDO</w:t>
      </w: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1C0788" w:rsidRDefault="001C0788" w:rsidP="001C0788">
      <w:pPr>
        <w:ind w:left="993" w:hanging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Část 5:</w:t>
      </w:r>
    </w:p>
    <w:p w:rsidR="00EE3268" w:rsidRDefault="00EE3268" w:rsidP="00EE3268">
      <w:pPr>
        <w:ind w:left="993" w:hanging="993"/>
        <w:rPr>
          <w:b/>
          <w:sz w:val="28"/>
          <w:szCs w:val="28"/>
        </w:rPr>
      </w:pPr>
      <w:r>
        <w:rPr>
          <w:b/>
          <w:sz w:val="28"/>
          <w:szCs w:val="28"/>
        </w:rPr>
        <w:t>Analýza personální politiky a rozvoje služeb pro členy akademické obce pro soukromé vysoké školy (domény 11-16, 17-22)</w:t>
      </w:r>
    </w:p>
    <w:p w:rsidR="00EE3268" w:rsidRDefault="00EE3268" w:rsidP="00EE3268">
      <w:pPr>
        <w:ind w:left="993" w:hanging="993"/>
        <w:rPr>
          <w:b/>
          <w:sz w:val="28"/>
          <w:szCs w:val="28"/>
        </w:rPr>
      </w:pPr>
    </w:p>
    <w:p w:rsidR="00EE3268" w:rsidRDefault="00EE3268" w:rsidP="00EE3268">
      <w:pPr>
        <w:ind w:left="993" w:hanging="993"/>
        <w:rPr>
          <w:b/>
          <w:sz w:val="28"/>
          <w:szCs w:val="28"/>
        </w:rPr>
      </w:pPr>
    </w:p>
    <w:p w:rsidR="00EE3268" w:rsidRDefault="00EE3268" w:rsidP="00EE3268">
      <w:pPr>
        <w:ind w:left="993" w:hanging="993"/>
        <w:rPr>
          <w:b/>
          <w:sz w:val="28"/>
          <w:szCs w:val="28"/>
        </w:rPr>
      </w:pPr>
    </w:p>
    <w:p w:rsidR="00EE3268" w:rsidRDefault="00EE3268" w:rsidP="00EE3268">
      <w:pPr>
        <w:ind w:left="993" w:hanging="993"/>
        <w:rPr>
          <w:b/>
          <w:sz w:val="28"/>
          <w:szCs w:val="28"/>
        </w:rPr>
      </w:pPr>
    </w:p>
    <w:p w:rsidR="00EE3268" w:rsidRDefault="00EE3268" w:rsidP="00EE3268">
      <w:pPr>
        <w:ind w:left="993" w:hanging="993"/>
        <w:rPr>
          <w:b/>
          <w:sz w:val="28"/>
          <w:szCs w:val="28"/>
        </w:rPr>
      </w:pPr>
      <w:r>
        <w:rPr>
          <w:b/>
          <w:sz w:val="28"/>
          <w:szCs w:val="28"/>
        </w:rPr>
        <w:t>Praha, listopad 2014</w:t>
      </w:r>
      <w:r>
        <w:rPr>
          <w:b/>
          <w:sz w:val="28"/>
          <w:szCs w:val="28"/>
        </w:rPr>
        <w:br w:type="page"/>
      </w:r>
    </w:p>
    <w:p w:rsidR="00EE3268" w:rsidRPr="001C0788" w:rsidRDefault="00EE3268" w:rsidP="00EE3268">
      <w:pPr>
        <w:rPr>
          <w:b/>
          <w:sz w:val="24"/>
          <w:szCs w:val="28"/>
        </w:rPr>
      </w:pPr>
      <w:r w:rsidRPr="001C0788">
        <w:rPr>
          <w:b/>
          <w:sz w:val="24"/>
          <w:szCs w:val="28"/>
        </w:rPr>
        <w:lastRenderedPageBreak/>
        <w:t>11. Získávání/nábor akademických pracovníků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S (29%)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Atraktivní finanční ohodnocení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Schopnost získávat pracovníky z aplikační sféry a integrovat je do vzdělávacího procesu a výzkumné činnosti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Přátelské a kolegiální prostředí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Flexibilita pracovního poměru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Využívání referencí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Postupné doplňování akademických pracovníků s vazbami na jejích bývalé kolegy a tím vytváření homogenního a konzistentního týmu s hlubšími vzájemnými vztahy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(29%)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vlastního doktorského studijního programu a práva habilitačního řízení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Vyšší věk profesorů a docentů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Neoprávněně zhoršená pověst způsobená neobjektivním hodnocením kvality prezentovaným ve sdělovacích prostředcích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Malý prostor pro výzkumnou činnost, malý počet grantů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Nedaří se získávat potřebný počet odborníků splňujících podmínky standardů AK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(20%)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 absolventy školy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Výchova vlastních akademických pracovníků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Nabídka akademických pracovníků z jiných vysokých škol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oslovení akad. pracovníků ze zahraničí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proofErr w:type="spellStart"/>
      <w:r w:rsidRPr="001C0788">
        <w:rPr>
          <w:sz w:val="20"/>
          <w:szCs w:val="20"/>
        </w:rPr>
        <w:t>Headhunting</w:t>
      </w:r>
      <w:proofErr w:type="spellEnd"/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Prestiž akademického povolání ve spojení s přívětivými pracovními podmínkami oproti "byznysu"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Změna postupů akreditačního procesu - akceptace odborníků z praxe a jejich zapojení do procesu výuky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(21%)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Kladení umělých překážek pro zapojení pracovníků z praxe do akademické sféry ze strany akreditačních/hodnotících orgánů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Diskriminace z pohledu věku akademických pracovníků přestože splňují zákonné podmínky i stávající podmínky kvality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Nabídky konkurenčních škol, které poskytují větší rozsah zaměstnaneckých výhod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Neochota VVŠ ke spolupráci s SVŠ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Nedostatek odborníků v regionu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Šíření nepravdivých informací o soukromých vysokých školách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Snaha MŠMT omezit působení akademických pracovníků - omezení úvazku pracovníků bez zkoumání skutečného rozsahu působení na VŠ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Zvyšující se platy pro pracovníky s vyššími akademickými hodnostmi, nerovnováha na trhu</w:t>
      </w:r>
    </w:p>
    <w:p w:rsidR="00EE3268" w:rsidRDefault="00EE3268" w:rsidP="00EE3268">
      <w:r>
        <w:br w:type="page"/>
      </w:r>
    </w:p>
    <w:p w:rsidR="00EE3268" w:rsidRPr="001C0788" w:rsidRDefault="00EE3268" w:rsidP="00EE3268">
      <w:pPr>
        <w:rPr>
          <w:b/>
          <w:sz w:val="24"/>
          <w:szCs w:val="24"/>
        </w:rPr>
      </w:pPr>
      <w:r w:rsidRPr="001C0788">
        <w:rPr>
          <w:b/>
          <w:sz w:val="24"/>
          <w:szCs w:val="24"/>
        </w:rPr>
        <w:lastRenderedPageBreak/>
        <w:t>12. Vyváženost skladby akademických pracovníků (věková, genderová)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S (32%)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Srovnatelné finanční podmínky pro muže i ženy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Příznivý věkový průměr pedagogického sboru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Zastupitelnost v předmětech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Příznivá kvalifikační skladba pracovníků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Mezigenerační inspirace a kontinuita v předávání znalostí a zkušeností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Větší prostor pro realizaci náročných forem výuky u mladých učitelů (přednášky, semináře)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(27%)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Nedostatečný počet odborných asistentů v plném pracovním úvazku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Nedostatečný počet interních docentů a profesorů pod 50 let věku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Nedostatečný počet interních akademických pracovníků v doktorském studiu – jsou vázáni na VVŠ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dlouhodobé strategie rozvoje lidských zdrojů, genderová vyváženost není cíleně sledována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Potíže se zastupitelností pracovníků ve výuce, odborná izolovanost  - každý dělá něco jiného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Nízký podíl žen v kategorii docent a profesor, nízký podíl žen v říd</w:t>
      </w:r>
      <w:r w:rsidR="00350B60">
        <w:rPr>
          <w:sz w:val="20"/>
          <w:szCs w:val="20"/>
        </w:rPr>
        <w:t>i</w:t>
      </w:r>
      <w:r w:rsidRPr="001C0788">
        <w:rPr>
          <w:sz w:val="20"/>
          <w:szCs w:val="20"/>
        </w:rPr>
        <w:t>cích funkcích školy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Mzdový předpis zaměřený na výkon, pedagogové nemají dost času na vědecký růst podporovaný publikační činností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(20%)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Využití externích zdrojů pro zlepšení finančního hodnocení akademických pracovníků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Zapojení do programů a projektů podporujících mladé akademické pracovníky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Optimalizace poměru jednotlivých kvalifikačních stupňů prostřednictvím vytvoření poboček vysoké školy v jiných velkých městech využívajících akreditace a zaměstnávajících dodatečnou skupinu asistentů a lektorů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Přesycenost trhu a ekonomická krize zvyšuje počet zájemců z praxe o výuku na vysokých školách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Budoucí změny vysokoškolské legislativy zlepší podmínky pro diverzifikaci, tedy i skladbu pracovníků školy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Možnosti spolupráce s jinými institucemi v oblasti </w:t>
      </w:r>
      <w:proofErr w:type="spellStart"/>
      <w:r w:rsidRPr="001C0788">
        <w:rPr>
          <w:sz w:val="20"/>
          <w:szCs w:val="20"/>
        </w:rPr>
        <w:t>VaV</w:t>
      </w:r>
      <w:proofErr w:type="spellEnd"/>
      <w:r w:rsidRPr="001C0788">
        <w:rPr>
          <w:sz w:val="20"/>
          <w:szCs w:val="20"/>
        </w:rPr>
        <w:t xml:space="preserve"> na odborném růstu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Zabezpečení péče o děti mladým akademickým pracovníkům (zabezpečení jeslí, </w:t>
      </w:r>
      <w:proofErr w:type="spellStart"/>
      <w:r w:rsidRPr="001C0788">
        <w:rPr>
          <w:sz w:val="20"/>
          <w:szCs w:val="20"/>
        </w:rPr>
        <w:t>miniškolka</w:t>
      </w:r>
      <w:proofErr w:type="spellEnd"/>
      <w:r w:rsidRPr="001C0788">
        <w:rPr>
          <w:sz w:val="20"/>
          <w:szCs w:val="20"/>
        </w:rPr>
        <w:t xml:space="preserve"> apod.)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Dobrá skladba akademických pracovníků může pozitivně ovlivnit nábor nových studentů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zejména s mezinárodními partnerskými univerzitami může napomoct růstu interních Ph.D.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(21%)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1C0788">
        <w:rPr>
          <w:sz w:val="20"/>
          <w:szCs w:val="20"/>
        </w:rPr>
        <w:t>Nezájem o přechod odborníků z praxe na školu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Trend stárnutí akademických pracovníků vysokých škol v ČR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Vysoké kvalifikační nároky kladené na akademické pracovníky v souvislosti s jejich kariérním rozvojem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Změna standardů Akreditační komise pro hodnocení personálního zajištění studijních</w:t>
      </w:r>
      <w:r w:rsidR="00350B60">
        <w:rPr>
          <w:sz w:val="20"/>
          <w:szCs w:val="20"/>
        </w:rPr>
        <w:t xml:space="preserve"> </w:t>
      </w:r>
      <w:r w:rsidRPr="001C0788">
        <w:rPr>
          <w:sz w:val="20"/>
          <w:szCs w:val="20"/>
        </w:rPr>
        <w:t>programů - nastavení nereálných kritérií pro akreditace s cílem redukovat počet soukromých škol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Závislost soukromé VŠ na veřejných univerzitách při habilitacích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Potíže VVŠ pro její pracovníky, kteří by chtěli současně působit na SVŠ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Konkurence ostatních vysokých škol při získávání akademických pracovníků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Demotivující pracovně-právní nároky při zaměstnávání mladých akademických pracovníků </w:t>
      </w:r>
      <w:r w:rsidR="00350B60" w:rsidRPr="001C0788">
        <w:rPr>
          <w:sz w:val="20"/>
          <w:szCs w:val="20"/>
        </w:rPr>
        <w:t>dan</w:t>
      </w:r>
      <w:r w:rsidR="00350B60">
        <w:rPr>
          <w:sz w:val="20"/>
          <w:szCs w:val="20"/>
        </w:rPr>
        <w:t>é</w:t>
      </w:r>
      <w:r w:rsidR="00350B60" w:rsidRPr="001C0788">
        <w:rPr>
          <w:sz w:val="20"/>
          <w:szCs w:val="20"/>
        </w:rPr>
        <w:t xml:space="preserve"> </w:t>
      </w:r>
      <w:r w:rsidRPr="001C0788">
        <w:rPr>
          <w:sz w:val="20"/>
          <w:szCs w:val="20"/>
        </w:rPr>
        <w:t>zákoníkem práce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Odchod akademických pracovníků do praxe či na jinou vysokou školu (lepší finanční ohodnocení)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Konkurenční boj a podbízení se jiných škol při získávání docentů nebo profesorů z příslušných oborů</w:t>
      </w:r>
    </w:p>
    <w:p w:rsidR="00EE326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</w:pPr>
      <w:r>
        <w:br w:type="page"/>
      </w:r>
    </w:p>
    <w:p w:rsidR="00EE3268" w:rsidRPr="001C0788" w:rsidRDefault="00EE3268" w:rsidP="00EE3268">
      <w:pPr>
        <w:rPr>
          <w:b/>
          <w:sz w:val="24"/>
          <w:szCs w:val="24"/>
        </w:rPr>
      </w:pPr>
      <w:r w:rsidRPr="001C0788">
        <w:rPr>
          <w:b/>
          <w:sz w:val="24"/>
          <w:szCs w:val="24"/>
        </w:rPr>
        <w:lastRenderedPageBreak/>
        <w:t>13. Kariérní růst akademických pracovníků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S (30%)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Finanční podpora účasti akademických pracovníků na kongresech a konferencích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Finanční benefity za publikační a další tvůrčí činnost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Podpora mezinárodních mobilit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účasti na řešení grantů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Podpora habilitačního a jmenovacího řízení akademických pracovníků i na jiných VŠ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Podpora studia akademických pracovníků v doktorských studijních programech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Zařazení na pozici dle schopností a možností konkrétního pracovníka - individuální přístup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Kariérní růst je doprovázen menší pedagogickou zatížeností a vyšším mzdovým ohodnocením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Pracovní poměry docentů a profesorů jsou zpravidla sjednávány na dobu neurčitou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Mimořádně vysoká základní zaručená část odměny akademických pracovníků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(28%)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Neexistence akreditace pro DSP, habilitační a jmenovací řízení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kariérního řádu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interního systému dalšího vzdělávání a rozvoje zaměstnanců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Nahodilé zásahy do personálního složení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Nedostatečná úroveň jazykových kompetencí akademických pracovníků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Nedostatečná úroveň vědeckovýzkumné činnosti školy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týmového výzkumného projektu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Systém odměňování primárně závislý na pozici namísto akcentu na odbornost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Nezájem ze strany pracovníků o další kari</w:t>
      </w:r>
      <w:r w:rsidR="00350B60">
        <w:rPr>
          <w:sz w:val="20"/>
          <w:szCs w:val="20"/>
        </w:rPr>
        <w:t>é</w:t>
      </w:r>
      <w:r w:rsidRPr="001C0788">
        <w:rPr>
          <w:sz w:val="20"/>
          <w:szCs w:val="20"/>
        </w:rPr>
        <w:t>rní růst, malá sounáležitost některých vyučujících s vysokou školou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Nižší publikační činnost externích akademických pracovníků (odborníků z praxe)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(21%)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Získání nových partnerů pro rozběhnutí vědecko-výzkumné spolupráce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Užší spolupráce s vysokými školami pro účely habilitačních a jmenovacích řízení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 veřejnými VŠ ve školení doktorandů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Využití zkušeností ostatních vysokých škol v problematice kariérního růstu akademických pracovníků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Rozvoj výměnných studijních pobytů pracovníků u partnerských zahraničních škol, spolupráce se zahraničními partnery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Rozšiřování a navyšování pracovních úvazků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zapojení se do činnosti profesních společností a asociací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Novela vysokoškolského zákona - větší možnost akceptace odborné praxe pedagogů (mimo VŠ)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Vyšší společenská prestiž u akademických pracovníků s vyšší vědeckou hodností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(21%)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Vyšší finanční ohodnocení pro kvalifikované akademické pracovníky u jiných VŠ a v praxi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Další zpřísnění akreditačních požadavků, jež by zabránilo soukromým VŠ zajišťovat rozvoj svých pracovníků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Zvyšující se náročnost na publikační činnost, dlouhé lhůty ve vydávání některých časopisů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Neochota a diskriminace habilitace akademických pracovníků SVŠ v nových oborech na veřejných VŠ (zpoplatnění řízení)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Ztěžování přístupu k</w:t>
      </w:r>
      <w:r w:rsidR="007205A5">
        <w:rPr>
          <w:sz w:val="20"/>
          <w:szCs w:val="20"/>
        </w:rPr>
        <w:t> </w:t>
      </w:r>
      <w:r w:rsidRPr="001C0788">
        <w:rPr>
          <w:sz w:val="20"/>
          <w:szCs w:val="20"/>
        </w:rPr>
        <w:t>Ph</w:t>
      </w:r>
      <w:r w:rsidR="007205A5">
        <w:rPr>
          <w:sz w:val="20"/>
          <w:szCs w:val="20"/>
        </w:rPr>
        <w:t>.</w:t>
      </w:r>
      <w:r w:rsidRPr="001C0788">
        <w:rPr>
          <w:sz w:val="20"/>
          <w:szCs w:val="20"/>
        </w:rPr>
        <w:t>D</w:t>
      </w:r>
      <w:r w:rsidR="007205A5">
        <w:rPr>
          <w:sz w:val="20"/>
          <w:szCs w:val="20"/>
        </w:rPr>
        <w:t>.</w:t>
      </w:r>
      <w:r w:rsidRPr="001C0788">
        <w:rPr>
          <w:sz w:val="20"/>
          <w:szCs w:val="20"/>
        </w:rPr>
        <w:t xml:space="preserve"> studiu pro pracovníky školy z důvodu možné konkurence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Malý počet grantů z veřejných prostředků, nerovný přístup k jejich získání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Nedostatečná prestiž postavení soukromé vysoké školy (coby zaměstnavatele a garanta další kariéry)</w:t>
      </w:r>
    </w:p>
    <w:p w:rsidR="00EE3268" w:rsidRDefault="00EE3268" w:rsidP="00EE3268">
      <w:r>
        <w:br w:type="page"/>
      </w:r>
    </w:p>
    <w:p w:rsidR="00EE3268" w:rsidRPr="001C0788" w:rsidRDefault="00EE3268" w:rsidP="00EE3268">
      <w:pPr>
        <w:rPr>
          <w:b/>
          <w:sz w:val="24"/>
          <w:szCs w:val="24"/>
        </w:rPr>
      </w:pPr>
      <w:r w:rsidRPr="001C0788">
        <w:rPr>
          <w:b/>
          <w:sz w:val="24"/>
          <w:szCs w:val="24"/>
        </w:rPr>
        <w:lastRenderedPageBreak/>
        <w:t>14. Péče o zaměstnance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S (39%)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Zaměstnanecké benefity (výhodné stravování, stravenky, příspěvky na penzijní pojištění a kapitálové spoření, daňové poradenství pro akademické pracovníky)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Menší velikost umožňující individuální přístup, otevřené vztahy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Nabídka volnočasových aktivit (sportovní aktivity), společenské akce pravidelně pořádané školou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proofErr w:type="spellStart"/>
      <w:r w:rsidRPr="001C0788">
        <w:rPr>
          <w:sz w:val="20"/>
          <w:szCs w:val="20"/>
        </w:rPr>
        <w:t>Teambuildingové</w:t>
      </w:r>
      <w:proofErr w:type="spellEnd"/>
      <w:r w:rsidRPr="001C0788">
        <w:rPr>
          <w:sz w:val="20"/>
          <w:szCs w:val="20"/>
        </w:rPr>
        <w:t xml:space="preserve"> aktivity pro pracovníky školy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Moderní informační systém a kvalitní knihovní fond, který usnadňuje akad. pracovníkům jejich práci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ubytování (přenocování)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vlastní organizace času při respektování organizace výuku, možnost práce z domova, flexibilní pracovní doba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Nadprůměrné finanční ohodnocení v porovnání s veřejnými VŠ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Individuální finanční mzdové ohodnocení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Možnosti jazykového a dalšího vzdělávání na škole bez poplatků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(26%)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Slabé zaměstnanecké benefity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Chybějící FKSP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služeb pro zaměstnance s dětmi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Chybějící péče o bývalé zaměstnance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Špatná dopravní dostupnost místa (sídla) SVŠ, nedostatek parkovacích míst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Neschopnost vedoucích kateder řídit zaměstnance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Limitované administrativní zázemí pro akademické pracovník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Omezené možnosti poskytnutí fyzického prostoru pro práci (kanceláře)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Chybějící vlastní sportovní zařízení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Velká vytíženost stávajících akad. pracovníků - absence volnočasových aktivit a dalšího způsobů posilování sounáležitosti s organizací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Nedostatečná IT podpora a vybavení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Omezená nabídka služeb mimo vzdělávací činnost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Malá jistota zaměstnanců v dlouhodobém horizontu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(19%)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při zajišťování stravování s VVŠ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Vývoj benefitů v souladu se spolupracujícím výrobním podnikem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se silnou odborovou organizací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Více výměnných programů a lepší spolupráce se zahraničními univerzitami, navýšení zdrojů na výměnné programy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Rozšíření spektra služeb pro akademiky (studijní placená volna, příspěvky na zdravotní služby, možnost umístění dětí v mateřské škole, finanční podpora dětí pedagogů navštěvujících školy v holdingu </w:t>
      </w:r>
      <w:r w:rsidR="00582D26">
        <w:rPr>
          <w:sz w:val="20"/>
          <w:szCs w:val="20"/>
        </w:rPr>
        <w:t>školy</w:t>
      </w:r>
      <w:r w:rsidR="00582D26" w:rsidRPr="001C0788">
        <w:rPr>
          <w:sz w:val="20"/>
          <w:szCs w:val="20"/>
        </w:rPr>
        <w:t xml:space="preserve"> </w:t>
      </w:r>
      <w:r w:rsidRPr="001C0788">
        <w:rPr>
          <w:sz w:val="20"/>
          <w:szCs w:val="20"/>
        </w:rPr>
        <w:t>apod.) podle zkušeností jiných VŠ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intervence či podpory u orgánů samosprávy pro mladé nadějné akademické pracovníky v otázkách základních životních potřeb rodiny (bydlení, péče o dítě)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 institucemi podporujícími vysoké školy, sponzoring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(15%)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Konkurence ostatních vysokých škol při získávání akademických pracovníků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Útlum podpůrných programů pro vzdělávací instituce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Nedostatek mzdových prostředků k naplňování tarifů mzdového předpisu pro akademické pracovníky SVŠ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Snižování počtu pracovníků v důsledku demografického útlumu, tj. počtu studentů (školné)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Postoje dotačních orgánů a MŠMT k financování SVŠ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Zrušení zvýhodnění úvazků doktorandů z důvodu horších ekonomických podmínek školy</w:t>
      </w:r>
    </w:p>
    <w:p w:rsidR="00EE326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b/>
        </w:rPr>
      </w:pPr>
      <w:r w:rsidRPr="001C0788">
        <w:rPr>
          <w:sz w:val="20"/>
          <w:szCs w:val="20"/>
        </w:rPr>
        <w:t>Svazující pracovně-právní legislativa</w:t>
      </w:r>
      <w:r>
        <w:rPr>
          <w:b/>
          <w:sz w:val="28"/>
          <w:szCs w:val="28"/>
        </w:rPr>
        <w:br w:type="page"/>
      </w:r>
    </w:p>
    <w:p w:rsidR="00EE3268" w:rsidRPr="001C0788" w:rsidRDefault="00EE3268" w:rsidP="00EE3268">
      <w:pPr>
        <w:rPr>
          <w:b/>
          <w:sz w:val="24"/>
          <w:szCs w:val="24"/>
        </w:rPr>
      </w:pPr>
      <w:r w:rsidRPr="001C0788">
        <w:rPr>
          <w:b/>
          <w:sz w:val="24"/>
          <w:szCs w:val="24"/>
        </w:rPr>
        <w:lastRenderedPageBreak/>
        <w:t>15. Motivační aspekty pro zaměstnance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S (36%)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Přátelské a kooperativní prostředí, práce s inteligentními a vysoce motivovanými jedinci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Flexibilní pracovní doba, relativní autonomie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vydávání učebnic v nakladatelství SVŠ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Zapojení do vědeckovýzkumné činnosti na SVŠ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Finanční a další motivace v závislosti na pracovních výsledcích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Relativně výhodnější mzdové podmínky ve srovnání s VVŠ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Stabilita pracovního poměru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Dovolená a zdravotní dovolená pedagogických pracovníků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Finanční benefity za publikační a další tvůrčí činnost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karierního a odborného růstu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Systém příplatků za manažerské činnosti a angažovanost ve prospěch školy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Nabídka zahraničních stáží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(28%)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Neatraktivní spektrum finančních zaměstnaneckých benefitů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motivační složky mzdy (finanční i nefinanční)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firemní mateřské školky a výhod pro matky s dětmi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kariérního řádu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FKSP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Vysoká vytíženost vyučujících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Schází systém výročních ocenění pedagogů a ostatních pracovníků SVŠ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Relativně vysoká fluktuace zaměstnanců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Neexistence DSP oprávnění pro habilitační a jmenovací řízení v rámci SVŠ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Neumíme udržet schopné zaměstnance, které si vychováme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Neschopnost vedoucích kateder motivovat zaměstnance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Slabá vazba odměňovacího systému na výkon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(21%)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Využití externích zdrojů pro financování lidských zdrojů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se subjekty poskytujícími služby v oblasti hlídání dětí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Využití </w:t>
      </w:r>
      <w:proofErr w:type="spellStart"/>
      <w:r w:rsidRPr="001C0788">
        <w:rPr>
          <w:sz w:val="20"/>
          <w:szCs w:val="20"/>
        </w:rPr>
        <w:t>best</w:t>
      </w:r>
      <w:proofErr w:type="spellEnd"/>
      <w:r w:rsidRPr="001C0788">
        <w:rPr>
          <w:sz w:val="20"/>
          <w:szCs w:val="20"/>
        </w:rPr>
        <w:t xml:space="preserve"> </w:t>
      </w:r>
      <w:proofErr w:type="spellStart"/>
      <w:r w:rsidRPr="001C0788">
        <w:rPr>
          <w:sz w:val="20"/>
          <w:szCs w:val="20"/>
        </w:rPr>
        <w:t>practices</w:t>
      </w:r>
      <w:proofErr w:type="spellEnd"/>
      <w:r w:rsidRPr="001C0788">
        <w:rPr>
          <w:sz w:val="20"/>
          <w:szCs w:val="20"/>
        </w:rPr>
        <w:t xml:space="preserve"> z jiných vysokých škol v ČR i zahraničí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Růst mezd s růstem vědecko-pedagogické pozice (doktor, docent, profesor) omezující fluktuaci pedagogů mezi VŠ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Smysluplný audit činností zaměstnanců a jejich zhodnocení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zapojení do řešení externích vědeckých grantů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Příležitosti pro mobilitu akademických pracovníků v rámci programu LLP/ERASMUS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Posílit týmovost na škole jednak mezi akademickými pracovníky, mezi akademickými pracovníky a studenty a také mezi samotnými studenty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Prohloubení spolupráce odborníků z praxe a akademických pracovníků ve výuce a na tvorbě nových výukových materiálů, spolupráce s praxí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(15%)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Nestabilní legislativní prostředí - nejistota daňových zvýhodnění zaměstnaneckých benefitů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Dlouhodobě nejasná koncepce rozvoje vysokých škol - nestabilní prostředí pro zaměstnance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Odchod kvalitních zaměstnanců do finančně lépe hodnocených pozic a odvětví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Nedostatek zájemců o studium= nedostatek finančních prostředků na podporu motivačních programů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Lepší mzdové podmínky na jiných soukromých školách, výuka na jiných školách za účelem přivýdělku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Syndrom vyhoření</w:t>
      </w:r>
    </w:p>
    <w:p w:rsidR="00EE326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b/>
        </w:rPr>
      </w:pPr>
      <w:r w:rsidRPr="001C0788">
        <w:rPr>
          <w:b/>
          <w:sz w:val="20"/>
          <w:szCs w:val="20"/>
        </w:rPr>
        <w:t>Růst příjmů v konkurenčních oborech, odchod perspektivních pracovníků ze SVŠ</w:t>
      </w:r>
      <w:r>
        <w:rPr>
          <w:b/>
          <w:sz w:val="28"/>
          <w:szCs w:val="28"/>
        </w:rPr>
        <w:br w:type="page"/>
      </w:r>
    </w:p>
    <w:p w:rsidR="00EE3268" w:rsidRPr="001C0788" w:rsidRDefault="00EE3268" w:rsidP="00EE3268">
      <w:pPr>
        <w:rPr>
          <w:b/>
          <w:sz w:val="24"/>
          <w:szCs w:val="24"/>
        </w:rPr>
      </w:pPr>
      <w:r w:rsidRPr="001C0788">
        <w:rPr>
          <w:b/>
          <w:sz w:val="24"/>
          <w:szCs w:val="24"/>
        </w:rPr>
        <w:lastRenderedPageBreak/>
        <w:t>16. Hodnocení akademických pracovníků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S (39%)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Existence průběžných hodnocení pedagogů studenty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Hodnocení kvality výuky včetně vedení kvalifikačních prací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Existence ročního a víceletého systému periodického hodnocení pracovníků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Využití sebehodnocení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Evaluace publikační a jiné tvůrčí činnosti ze strany vedení školy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Systém průběžného komplexního hodnocení akademických pracovníků, zahrnující sebehodnocení, hodnocení vedoucím katedry a vedením školy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Hodnocení funkcí, nadstandardní práce, propagace školy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Udržování kontaktu s absolventy s cílem zpětné vazby k inovacím studijního programu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Individuální přístup k hodnocení na základě jasně definovaných parametrů, rychlá zpětná vazba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(24%)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Demotivace některých akademických pracovníků z důvodu vysoké náročnosti hodnocení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Evaluace publikační a jiné tvůrčí činnosti ze strany vedení školy není náležitě systematická a průběžná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Neprovázanost personálního hodnocení se mzdovým systémem a odměňování pracovníků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Hodnocení některých akademických pracovníků studenty je založeno na malém počtu hlasů, výsledek nemusí být relevantní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Formálnost přístupu hodnotitelů i hodnocených zaměstnanců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Podceňování hodnocení jako takového, nedůslednost při vyvozování závěrů z hodnocení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Málo účinné hodnocení publikační činnosti (hodnocení počtu publikací, méně již hodnocení kvality)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(19%)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Využívání vnějších standardů hodnocení a zahraniční akreditace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Implementace mezinárodního standardu pro vnitřní hodnocení kvality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 jinými vysokými školami tuzemskými i zahraničními na vědecko-výzkumných publikačních úkolech a tudíž i možnost akademických pracovníků zlepšit své hodnocení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se subjekty zabývajícími se řízením HR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Certifikace metodiky procesního řízení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(18%)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Měnící se podmínky evaluace pro hodnocení akademických pracovníků Akreditační komisí / MŠMT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proofErr w:type="spellStart"/>
      <w:r w:rsidRPr="001C0788">
        <w:rPr>
          <w:sz w:val="20"/>
          <w:szCs w:val="20"/>
        </w:rPr>
        <w:t>Headhunting</w:t>
      </w:r>
      <w:proofErr w:type="spellEnd"/>
      <w:r w:rsidRPr="001C0788">
        <w:rPr>
          <w:sz w:val="20"/>
          <w:szCs w:val="20"/>
        </w:rPr>
        <w:t xml:space="preserve"> ostatních vysokých škol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Finanční náročnost komplexních řešení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Tendence preferovat hodnocení vědeckých výkonů na úkor výkonů pedagogických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Omezené možnosti vytvoření konkurenčního prostředí na vysoké škole dané nízkým počtem potenciálních zájemců o akademickou dráhu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Snaha sjednotit hodnotící kritéria v oblasti vysokého školství bez ohledu na typ a zaměření jednotlivých VŠ a jejich poslání při výchově pracovníků pro potřeby praxe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Velmi rozdílné požadavky různých VŠ na hodnocení akademických pracovníků při formulaci požadavků na habilitační a profesorské řízení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Změna majitele SVŠ a s tím spojená změna přístupu k personálnímu řízení</w:t>
      </w:r>
    </w:p>
    <w:p w:rsidR="00EE3268" w:rsidRDefault="00EE3268" w:rsidP="00EE326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E3268" w:rsidRPr="001C0788" w:rsidRDefault="00EE3268" w:rsidP="00EE3268">
      <w:pPr>
        <w:rPr>
          <w:b/>
          <w:sz w:val="24"/>
          <w:szCs w:val="24"/>
        </w:rPr>
      </w:pPr>
      <w:r w:rsidRPr="001C0788">
        <w:rPr>
          <w:b/>
          <w:sz w:val="24"/>
          <w:szCs w:val="24"/>
        </w:rPr>
        <w:lastRenderedPageBreak/>
        <w:t>17. Dostupnost a kvalita infrastrukturního zázemí informačních a komunikačních technologií v činnostech VŠ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S (40%)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Funkční vnitřní komunikační systém – intranet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IS školy postaven na míru potřeb školy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Zavedený IS pro evidenci studentů a jejich studijních výsledků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Propracovaný a funkční e-</w:t>
      </w:r>
      <w:proofErr w:type="spellStart"/>
      <w:r w:rsidRPr="001C0788">
        <w:rPr>
          <w:sz w:val="20"/>
          <w:szCs w:val="20"/>
        </w:rPr>
        <w:t>learningový</w:t>
      </w:r>
      <w:proofErr w:type="spellEnd"/>
      <w:r w:rsidRPr="001C0788">
        <w:rPr>
          <w:sz w:val="20"/>
          <w:szCs w:val="20"/>
        </w:rPr>
        <w:t xml:space="preserve"> systém podpory výuky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Rychlý přístup k internetu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Dostupnost </w:t>
      </w:r>
      <w:proofErr w:type="spellStart"/>
      <w:r w:rsidRPr="001C0788">
        <w:rPr>
          <w:sz w:val="20"/>
          <w:szCs w:val="20"/>
        </w:rPr>
        <w:t>WiFi</w:t>
      </w:r>
      <w:proofErr w:type="spellEnd"/>
      <w:r w:rsidRPr="001C0788">
        <w:rPr>
          <w:sz w:val="20"/>
          <w:szCs w:val="20"/>
        </w:rPr>
        <w:t xml:space="preserve"> připojení v celém objektu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Dostatek peněz na rozvoj a údržbu IT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Průběžná obnova SW a HW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Kvalitní IT personální i technické zázemí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Komunikační infrastruktura je ve vlastnictví školy, správa ICT prostřednictvím interních lidských zdrojů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Předplacené zahraniční i domácí vědecké databáze elektronických informačních zdrojů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Systém firemní komunikace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(23%)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Nehomogenita IT prostředí, zastaralost, nízká flexibilita pomalá obnova IT infrastruktury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Omezená schopnost akademických pracovníků používat prostředky IT podpory pro organizaci studia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Nepřipravenost informačních systémů pro potenciální nárůst počtu studentů či oborů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Omezené prostředky na rozvoj a obnovu ICT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Plná závislost na zakladateli SVŠ v oblasti IT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Slabé vytížení PC učeben a nízký počet veřejně dostupných PC terminálů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Nedostatečně kvalitní pokrytí signálem </w:t>
      </w:r>
      <w:proofErr w:type="spellStart"/>
      <w:r w:rsidRPr="001C0788">
        <w:rPr>
          <w:sz w:val="20"/>
          <w:szCs w:val="20"/>
        </w:rPr>
        <w:t>WiFi</w:t>
      </w:r>
      <w:proofErr w:type="spellEnd"/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Neexistence webového portálu pro komunikaci s absolventy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Duplicita informačních systémů (používání více informačních systémů)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Závislost na dodavatelích technického řešení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(25%)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Využití sociálních sítí a nových technologií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Rostoucí nabídka open source řešení, využití </w:t>
      </w:r>
      <w:proofErr w:type="spellStart"/>
      <w:r w:rsidRPr="001C0788">
        <w:rPr>
          <w:sz w:val="20"/>
          <w:szCs w:val="20"/>
        </w:rPr>
        <w:t>cloudových</w:t>
      </w:r>
      <w:proofErr w:type="spellEnd"/>
      <w:r w:rsidRPr="001C0788">
        <w:rPr>
          <w:sz w:val="20"/>
          <w:szCs w:val="20"/>
        </w:rPr>
        <w:t xml:space="preserve"> řešení IT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Využití sponzoringu ze strany vedoucích IT firem v podobě poskytnutí použitých zařízení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Napojení IS školy na univerzitní síť a superpočítač v regionu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Napojení na CESNET: E-infrastruktura pro vědu, výzkum a vzdělávání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Videokonferenční výuka a </w:t>
      </w:r>
      <w:proofErr w:type="spellStart"/>
      <w:r w:rsidRPr="001C0788">
        <w:rPr>
          <w:sz w:val="20"/>
          <w:szCs w:val="20"/>
        </w:rPr>
        <w:t>webináře</w:t>
      </w:r>
      <w:proofErr w:type="spellEnd"/>
      <w:r w:rsidRPr="001C0788">
        <w:rPr>
          <w:sz w:val="20"/>
          <w:szCs w:val="20"/>
        </w:rPr>
        <w:t xml:space="preserve"> zpřístupňují studium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Zajištění bezpečnosti počítačových sítí, připojení k internetu a monitorování účelnosti jejich využití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Vzdělávání distanční formou realizované prostřednictvím informačních technologií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(12%)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Rychlý vývoj technologií a technického prostředí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Opakované zneužití veřejně dostupných kontaktů školy pomocí spamu, </w:t>
      </w:r>
      <w:proofErr w:type="spellStart"/>
      <w:r w:rsidRPr="001C0788">
        <w:rPr>
          <w:sz w:val="20"/>
          <w:szCs w:val="20"/>
        </w:rPr>
        <w:t>phishingu</w:t>
      </w:r>
      <w:proofErr w:type="spellEnd"/>
      <w:r w:rsidRPr="001C0788">
        <w:rPr>
          <w:sz w:val="20"/>
          <w:szCs w:val="20"/>
        </w:rPr>
        <w:t xml:space="preserve"> apod.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Klesající počet studentů a tím i klesající množství finančních prostředků na rozvoj IT ve škole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Vývoj v oblasti SW klade zvyšující se nároky na potřebný HW, rychlý rozvoj ICT vyžaduje stálé vynakládání dalších finančních prostředků</w:t>
      </w:r>
    </w:p>
    <w:p w:rsidR="00EE3268" w:rsidRDefault="00EE3268" w:rsidP="00EE326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E3268" w:rsidRPr="001C0788" w:rsidRDefault="00EE3268" w:rsidP="00EE3268">
      <w:pPr>
        <w:rPr>
          <w:b/>
          <w:sz w:val="24"/>
          <w:szCs w:val="24"/>
        </w:rPr>
      </w:pPr>
      <w:r w:rsidRPr="001C0788">
        <w:rPr>
          <w:b/>
          <w:sz w:val="24"/>
          <w:szCs w:val="24"/>
        </w:rPr>
        <w:lastRenderedPageBreak/>
        <w:t>18. Sociální služby (podpora financování studia, ubytování, stravování, poradenství, speciální potřeby)</w:t>
      </w:r>
    </w:p>
    <w:p w:rsidR="00EE3268" w:rsidRDefault="00EE3268" w:rsidP="00EE3268">
      <w:pPr>
        <w:spacing w:after="120" w:line="240" w:lineRule="auto"/>
        <w:rPr>
          <w:b/>
        </w:rPr>
      </w:pPr>
      <w:r>
        <w:rPr>
          <w:b/>
        </w:rPr>
        <w:t>S (39%)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financování studia prostřednictvím úvěru, možnost rozložit splátky za studium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Poradna pro studenty se speciálními vzdělávacími potřebami, vytváření individuálních vzdělávacích plánů pro studenty s vážným zdravotním handicapem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Zajištění stravování pro studenty (bufet v prostoru školy, nápojové automaty, zprostředkovaní stravování v externích jídelnách)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Bezbariérové řešení objektu SVŠ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Vlastní ubytování (koleje) pro studenty nebo alespoň pomoc při zajištění ubytování pro studenty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Finanční ocenění tvůrčích prací studentů, excelentních BP a DP, finanční podpora vědecké, výzkumné a další tvůrčí činnosti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Žádosti spojené se studiem nejsou zpoplatněny ¨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Studentům jsou zdarma poskytovány elektronické studijní opory (e-</w:t>
      </w:r>
      <w:proofErr w:type="spellStart"/>
      <w:r w:rsidRPr="001C0788">
        <w:rPr>
          <w:sz w:val="20"/>
          <w:szCs w:val="20"/>
        </w:rPr>
        <w:t>learningové</w:t>
      </w:r>
      <w:proofErr w:type="spellEnd"/>
      <w:r w:rsidRPr="001C0788">
        <w:rPr>
          <w:sz w:val="20"/>
          <w:szCs w:val="20"/>
        </w:rPr>
        <w:t xml:space="preserve"> kurzy apod.), možnost bezplatných výpůjček knih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Rozvinutý motivační systém pro studenty realizovaný prostřednictvím stipendijních programů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Systém sociálních stipendií, výplata podpor studentům s dětmi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Výuka v sobotu - řešení pro studenty zaměstnance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Životní a krizové poradenství pro studenty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(28%)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stipendijních programů pro podporu handicapovaných studentů a studentů se speciálními potřebami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Absence vlastního stravovacího provozu, nedostatečná propagace menz veřejných vysokých škol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Limitované finanční zdroje pro udělování stipendií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Neexistence vlastních ubytovacích kapacit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Schází místnost pro rozvoj studentských aktivit (např. pro práci studentské komory senátu apod.)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Minimální servis pro studenty na detašovaných pracovištích mimo sídlo SVŠ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Chybí bezbariérový přístup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Neexistence vlastního zařízení péče o děti studentů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Chybějící zařízení pro sportovní vyžití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(27%)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Rozšířená nabídka financování studia z cizích zdrojů, výhodnější studentské půjčky, sponzoring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 externími stravovacími provozy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 objekty nabízející ubytovací kapacity event. vybudování vlastních ubytovacích kapacit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Poskytnutí ubytovacích a sociálních stipendií i pro studenty soukromých VŠ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se speciálními centry pro podporu handicapovaných studentů a studentů se speciálními potřebami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 firmami, které v rámci tréninkových programů mají zájem, aby jejich zaměstnanci studovali, hradí jim školné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 municipalitou - využití prostor k výuce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Propojení aktivit s úřady práce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(7%)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right="-284" w:hanging="284"/>
        <w:rPr>
          <w:sz w:val="20"/>
          <w:szCs w:val="20"/>
        </w:rPr>
      </w:pPr>
      <w:r w:rsidRPr="001C0788">
        <w:rPr>
          <w:sz w:val="20"/>
          <w:szCs w:val="20"/>
        </w:rPr>
        <w:t>Omezení přístupu studentů ke stravovacím a ubytovacím službám veřejných škol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right="-284" w:hanging="284"/>
        <w:rPr>
          <w:sz w:val="20"/>
          <w:szCs w:val="20"/>
        </w:rPr>
      </w:pPr>
      <w:r w:rsidRPr="001C0788">
        <w:rPr>
          <w:sz w:val="20"/>
          <w:szCs w:val="20"/>
        </w:rPr>
        <w:t>Komplexní nabídka služeb studentům zejména na veřejných VŠ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right="-284" w:hanging="284"/>
        <w:rPr>
          <w:sz w:val="20"/>
          <w:szCs w:val="20"/>
        </w:rPr>
      </w:pPr>
      <w:r w:rsidRPr="001C0788">
        <w:rPr>
          <w:sz w:val="20"/>
          <w:szCs w:val="20"/>
        </w:rPr>
        <w:t>Omezení výuky mimo pracovní dny ze strany MŠMT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right="-284" w:hanging="284"/>
        <w:rPr>
          <w:sz w:val="20"/>
          <w:szCs w:val="20"/>
        </w:rPr>
      </w:pPr>
      <w:r w:rsidRPr="001C0788">
        <w:rPr>
          <w:sz w:val="20"/>
          <w:szCs w:val="20"/>
        </w:rPr>
        <w:t>Nedostatek osvícených sponzorů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right="-284" w:hanging="284"/>
        <w:rPr>
          <w:sz w:val="20"/>
          <w:szCs w:val="20"/>
        </w:rPr>
      </w:pPr>
      <w:r w:rsidRPr="001C0788">
        <w:rPr>
          <w:sz w:val="20"/>
          <w:szCs w:val="20"/>
        </w:rPr>
        <w:t>Nedostatek finančních produktů v oblasti studentských půjček</w:t>
      </w:r>
    </w:p>
    <w:p w:rsidR="00EE3268" w:rsidRDefault="00EE3268" w:rsidP="00EE326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E3268" w:rsidRPr="001C0788" w:rsidRDefault="00EE3268" w:rsidP="00EE3268">
      <w:pPr>
        <w:rPr>
          <w:b/>
          <w:sz w:val="24"/>
          <w:szCs w:val="24"/>
        </w:rPr>
      </w:pPr>
      <w:r w:rsidRPr="001C0788">
        <w:rPr>
          <w:b/>
          <w:sz w:val="24"/>
          <w:szCs w:val="24"/>
        </w:rPr>
        <w:lastRenderedPageBreak/>
        <w:t>19. Systém sociálních vztahů na univerzitě, který by cílevědomě řešil potřeby zaměstnanců a zdravotně postižených studentů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S (49%)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Individuální přístup ke studentům a zaměstnancům (např. zjišťování osobních preferencí)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SVŠ zaměstnává fyzicky handicapované provozní pracovníky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Technické zázemí pro zdravotně postižené studenty - bezbariérový přístup, sociální zařízení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Etablovaná e-</w:t>
      </w:r>
      <w:proofErr w:type="spellStart"/>
      <w:r w:rsidRPr="001C0788">
        <w:rPr>
          <w:sz w:val="20"/>
          <w:szCs w:val="20"/>
        </w:rPr>
        <w:t>learningová</w:t>
      </w:r>
      <w:proofErr w:type="spellEnd"/>
      <w:r w:rsidRPr="001C0788">
        <w:rPr>
          <w:sz w:val="20"/>
          <w:szCs w:val="20"/>
        </w:rPr>
        <w:t xml:space="preserve"> výuka (plně funkční systém </w:t>
      </w:r>
      <w:proofErr w:type="spellStart"/>
      <w:r w:rsidRPr="001C0788">
        <w:rPr>
          <w:sz w:val="20"/>
          <w:szCs w:val="20"/>
        </w:rPr>
        <w:t>Moodle</w:t>
      </w:r>
      <w:proofErr w:type="spellEnd"/>
      <w:r w:rsidRPr="001C0788">
        <w:rPr>
          <w:sz w:val="20"/>
          <w:szCs w:val="20"/>
        </w:rPr>
        <w:t>, který je pravidelně aktualizován a rozšiřován) umožňuje studium i z domova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Existence poradenského centra pro poskytování konzultací studentům v případě potřeby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Otázky sociálních vztahů na VŠ jsou pravidelně řešeny na poradách pedagogů a vedení školy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(16%)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Velmi omezená možnost podpory studentů se speciálními potřebami (nevidomí, neslyšící), chybí speciální pomůcky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Systém sociálních vztahů v podstatě není definován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Neexistence profesionálních placených poradců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Chybí sociální fond pro zaměstnance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Nedostatečná inovace studijních oborů s ohledem na snazší přístup ke studijním materiálům a pomůckám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Nepropracovaný systém kariérního růstu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Nerozvinutý systém zaměstnaneckých benefitů a motivace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(18%)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Rozvinutí spolupráce se specializovanými zařízeními (organizacemi zdravotně postižených) v regionu či městě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Vytváření pozitivní publicity, komunikace možnosti studia zdravotně postižených studentů na SVŠ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Prohloubení motivace kvalifikovaných pedagogů v oblasti zdravotně postižených k práci na škole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Zvyšující se počty studentů se speciálními potřebami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Podpora studia zdravotně postižených studentů z veřejných zdrojů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 případě, že vysoká škola vytvoří/posílí podmínky pro studium ZTP studentů, může se jednat o jednu ze silných konkurenčních výhod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(16%)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Požadavky Zákona o ochraně osobních dat č. 101/2000 Sb.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Přijetí problémové osobnosti do pracovního poměru 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Vzrůstající množství psychických problémů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Špatná nálady z celospolečenského vývoje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Nízká finanční podpora rozvoje vzdělávání osob se specifickými potřebami soukromých vysokých škol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Slabé povědomí o uplatňování modifikovaných přístupů k průběhu vzdělávání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Komplexní nabídka služeb studentům zejména na veřejných VŠ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I přes vynaložené úsilí ze strany školy zdravotně postižení studenti nemusí dokončit studium, nebo odejdou na jinou VŠ</w:t>
      </w:r>
    </w:p>
    <w:p w:rsidR="00EE3268" w:rsidRPr="001C0788" w:rsidRDefault="00EE3268" w:rsidP="00EE3268">
      <w:pPr>
        <w:rPr>
          <w:b/>
          <w:sz w:val="24"/>
          <w:szCs w:val="24"/>
        </w:rPr>
      </w:pPr>
      <w:r>
        <w:rPr>
          <w:b/>
          <w:sz w:val="28"/>
          <w:szCs w:val="28"/>
        </w:rPr>
        <w:br w:type="page"/>
      </w:r>
      <w:r w:rsidRPr="001C0788">
        <w:rPr>
          <w:b/>
          <w:sz w:val="24"/>
          <w:szCs w:val="24"/>
        </w:rPr>
        <w:lastRenderedPageBreak/>
        <w:t>20+21. Zázemí nejen pro studium, ale i pro volnočasové aktivity studentů včetně podpory činnosti studentských organizací, materiálová a organizační podpora kulturních a sportovních aktivit pro studenty a zaměstnance univerzity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S (34%)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Podpora vzniku a činnosti studentských organizací, uvolnění místností pro studentské volnočasové aktivity, finanční podpora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Podpora činnosti akademického studentského senátu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Studentský časopis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Dobrá organizace rozvrhu vytvářející prostor pro studium i mimoškolní aktivity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Pořádání volnočasové výroční aktivity - rektorského dne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Podpora kulturních a sportovních aktivit, centrum pro volnočasové aktivity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Pravidelná výjezdní zasedání zaměstnanců školy spojená s kulturním programem, </w:t>
      </w:r>
      <w:proofErr w:type="spellStart"/>
      <w:r w:rsidRPr="001C0788">
        <w:rPr>
          <w:sz w:val="20"/>
          <w:szCs w:val="20"/>
        </w:rPr>
        <w:t>teambuilding</w:t>
      </w:r>
      <w:proofErr w:type="spellEnd"/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Dlouholetá tradice kvalitních letních a zimních sportovních kurzů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(27%)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Omezené finanční prostředky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Nízká informovanost studentů o nabídce školy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Nezájem převážné části studentů - pracujících - o mimoškolní a volnočasové aktivity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Neexistuje sportovní zařízení ani studentský klub pro volnočasové aktivity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Nedostatek odpočinkových prostor v prostorách školy, včetně možnosti občerstvení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Kulturní a sportovní aktivity studentu - jsou iniciovány pouze studenty a realizovány většinou mimo areál školy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Velká vytíženost stávajících akad. pracovníků - absence volnočasových aktivit a dalších způsobů posilování sounáležitosti s organizací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(24%)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Nalezení dalšího zdroje financování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Spolupráce s dalšími institucemi v regionu (nejen z akademické sféry) při rozvoji volnočasových aktivit studentů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Granty podporující volnočasové aktivity studentů vypisované municipalitou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Mezinárodní spolupráce studentských organizací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Nabídka slevových akcí pro zaměstnance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Osvícení sponzoři, využití podpory aktivit z darů soukromých subjektů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Vlastní iniciativa studentů - založení klubu, hudební skupiny, apod.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Vytvoření klubu absolventů s cílem posílit vazby a sounáležitost se školou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Zapojení studentů do pracovních stáží, brigád a studentských soutěží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(15%)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Komplexní nabídka služeb studentům zejména na veřejných VŠ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Struktura studentů s převažujícím podílem kombinované formy studia – prakticky žádný zájem o volnočasové aktivity a sepětí se školou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Silný individualismus současné společnosti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Konkurence vysokých škol disponujících vlastními kulturními zařízeními (studentské kluby apod.)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Obraz soukromé školy v očích veřejnosti a z toho plynoucí nezájem o akce školy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Omezení prostředků na studentské aktivity vlivem úbytku studentů (nižší výnosy ze školného)</w:t>
      </w:r>
    </w:p>
    <w:p w:rsidR="00EE3268" w:rsidRDefault="00EE3268" w:rsidP="00EE3268">
      <w:r>
        <w:br w:type="page"/>
      </w:r>
    </w:p>
    <w:p w:rsidR="00EE3268" w:rsidRPr="001C0788" w:rsidRDefault="00EE3268" w:rsidP="00EE3268">
      <w:pPr>
        <w:rPr>
          <w:b/>
          <w:sz w:val="24"/>
          <w:szCs w:val="24"/>
        </w:rPr>
      </w:pPr>
      <w:r w:rsidRPr="001C0788">
        <w:rPr>
          <w:b/>
          <w:sz w:val="24"/>
          <w:szCs w:val="24"/>
        </w:rPr>
        <w:lastRenderedPageBreak/>
        <w:t>22. Problematika bezpečnosti (utajované skutečnosti, ochrana dat a duševního vlastnictví, bezpečnost osob)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S (40%)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Škola má akreditaci pro práci s osobními údaji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 oblasti vědecké, publikační a tvůrčí činnosti je kontrolováno dodržování autorských práv, studenti jsou o nutnosti dodržování autorských práv pravidelně informováni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Kvalitní smlouvy řešící problematiku ochrany duševního vlastnictví v projektech </w:t>
      </w:r>
      <w:proofErr w:type="spellStart"/>
      <w:r w:rsidRPr="001C0788">
        <w:rPr>
          <w:sz w:val="20"/>
          <w:szCs w:val="20"/>
        </w:rPr>
        <w:t>VaV</w:t>
      </w:r>
      <w:proofErr w:type="spellEnd"/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Škola užívá copyright v publikačních aktivitách (vlastní edice)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Vypracována směrnice pro práci s důvěrnými dokumenty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Rozpracován systém ukládání neveřejné části kvalifikačních prací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Závěrečné a semestrální práce prověřovány SW pro odhalování plagiátorství</w:t>
      </w:r>
    </w:p>
    <w:p w:rsidR="00EE3268" w:rsidRPr="001C0788" w:rsidRDefault="00EE3268" w:rsidP="00EE326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Zabezpečení budovy školy bezpečnostním systémem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W (22%)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Nízká úroveň ochrany dat z hlediska přístupů a oprávnění (autentizace přístupů)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Dodržování směrnice pro práci s důvěrnými dokumenty není systematicky kontrolováno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Škola nepoužívá elektronickou kontrolu vstupu do budovy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Neexistuje systém kontroly porušování autorských práv akademických pracovníků školy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Nízké povědomí studentů a ne zcela vhodný přístup studentů k ochraně duševního vlastnictví</w:t>
      </w:r>
    </w:p>
    <w:p w:rsidR="00EE3268" w:rsidRPr="001C0788" w:rsidRDefault="00EE3268" w:rsidP="00EE326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Nedůsledné dodržování bezpečnostních norem zaměstnanci školy i studenty</w:t>
      </w:r>
    </w:p>
    <w:p w:rsidR="00EE3268" w:rsidRPr="001C0788" w:rsidRDefault="00EE3268" w:rsidP="00EE3268">
      <w:pPr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O (19%)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čerpat evropské prostředky v dalším plánovacím období pro využití zabezpečených páteřních sítí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Možnost automatizace kontroly plagiátorství ve všech publikačních výstupech vysoké školy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Existence rozpracovaných informačních řešení externích firem, využití externích dodavatelů pro uložení a zálohu dat (</w:t>
      </w:r>
      <w:proofErr w:type="spellStart"/>
      <w:r w:rsidRPr="001C0788">
        <w:rPr>
          <w:sz w:val="20"/>
          <w:szCs w:val="20"/>
        </w:rPr>
        <w:t>datacentra</w:t>
      </w:r>
      <w:proofErr w:type="spellEnd"/>
      <w:r w:rsidRPr="001C0788">
        <w:rPr>
          <w:sz w:val="20"/>
          <w:szCs w:val="20"/>
        </w:rPr>
        <w:t xml:space="preserve">, </w:t>
      </w:r>
      <w:proofErr w:type="spellStart"/>
      <w:r w:rsidRPr="001C0788">
        <w:rPr>
          <w:sz w:val="20"/>
          <w:szCs w:val="20"/>
        </w:rPr>
        <w:t>clouding</w:t>
      </w:r>
      <w:proofErr w:type="spellEnd"/>
      <w:r w:rsidRPr="001C0788">
        <w:rPr>
          <w:sz w:val="20"/>
          <w:szCs w:val="20"/>
        </w:rPr>
        <w:t>)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Využití možnosti poradenských firem z oblasti technologického transferu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Nabídka odborných školení v oblasti dodržování autorských práv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Vytvoření komplexního systému zabezpečení objektu školy zvyšujícího bezpečnost osob a majetku</w:t>
      </w:r>
    </w:p>
    <w:p w:rsidR="00EE3268" w:rsidRPr="001C0788" w:rsidRDefault="00EE3268" w:rsidP="00EE326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Lepší spolupráce se samosprávou v případě zajištění bezpečnosti v okolí školy – využití městské policie, bezpečnostní agentury</w:t>
      </w:r>
    </w:p>
    <w:p w:rsidR="00EE3268" w:rsidRPr="001C0788" w:rsidRDefault="00EE3268" w:rsidP="00EE3268">
      <w:pPr>
        <w:tabs>
          <w:tab w:val="left" w:pos="2552"/>
        </w:tabs>
        <w:spacing w:after="120" w:line="240" w:lineRule="auto"/>
        <w:rPr>
          <w:b/>
          <w:sz w:val="20"/>
          <w:szCs w:val="20"/>
        </w:rPr>
      </w:pPr>
      <w:r w:rsidRPr="001C0788">
        <w:rPr>
          <w:b/>
          <w:sz w:val="20"/>
          <w:szCs w:val="20"/>
        </w:rPr>
        <w:t>T (20%)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 xml:space="preserve">Kybernetické útoky na počítačové sítě (zejména </w:t>
      </w:r>
      <w:proofErr w:type="spellStart"/>
      <w:r w:rsidRPr="001C0788">
        <w:rPr>
          <w:sz w:val="20"/>
          <w:szCs w:val="20"/>
        </w:rPr>
        <w:t>WiFi</w:t>
      </w:r>
      <w:proofErr w:type="spellEnd"/>
      <w:r w:rsidRPr="001C0788">
        <w:rPr>
          <w:sz w:val="20"/>
          <w:szCs w:val="20"/>
        </w:rPr>
        <w:t>), hackerský útok a ztráta citlivých dat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Nereálné legislativní požadavky na zajištění bezpečnosti či ochranu práv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Ohrožení bezpečnosti osob ve veřejně přístupných budovách školy, majetková trestná činnost v prostorách školy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Nebezpečí úniku osobních údajů zaměstnanců a studentů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Nebezpečí zneužití know-how SVŠ v oblasti studijních programů konkurenčními vysokými školami</w:t>
      </w:r>
    </w:p>
    <w:p w:rsidR="00EE3268" w:rsidRPr="001C0788" w:rsidRDefault="00EE3268" w:rsidP="00EE326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1C0788">
        <w:rPr>
          <w:sz w:val="20"/>
          <w:szCs w:val="20"/>
        </w:rPr>
        <w:t>Neustále se měnící legislativní předpisy</w:t>
      </w:r>
    </w:p>
    <w:p w:rsidR="00A20802" w:rsidRPr="00E146A9" w:rsidRDefault="00A20802" w:rsidP="00EE3268">
      <w:pPr>
        <w:ind w:left="993" w:hanging="993"/>
        <w:jc w:val="center"/>
        <w:rPr>
          <w:sz w:val="20"/>
        </w:rPr>
      </w:pPr>
    </w:p>
    <w:sectPr w:rsidR="00A20802" w:rsidRPr="00E146A9" w:rsidSect="004159F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89" w:right="1417" w:bottom="1417" w:left="1417" w:header="34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703" w:rsidRDefault="00A17703">
      <w:r>
        <w:separator/>
      </w:r>
    </w:p>
  </w:endnote>
  <w:endnote w:type="continuationSeparator" w:id="0">
    <w:p w:rsidR="00A17703" w:rsidRDefault="00A1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B4FFC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2080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C460C" w:rsidRDefault="009C460C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E21A55">
    <w:pPr>
      <w:pStyle w:val="Zpat"/>
      <w:ind w:right="360" w:hanging="1417"/>
      <w:jc w:val="center"/>
      <w:rPr>
        <w:rFonts w:ascii="Arial Narrow" w:hAnsi="Arial Narrow"/>
        <w:color w:val="5F5F5F"/>
        <w:sz w:val="16"/>
      </w:rPr>
    </w:pP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78720" behindDoc="1" locked="0" layoutInCell="1" allowOverlap="1" wp14:anchorId="5E37378C" wp14:editId="075AE535">
          <wp:simplePos x="0" y="0"/>
          <wp:positionH relativeFrom="margin">
            <wp:posOffset>1503680</wp:posOffset>
          </wp:positionH>
          <wp:positionV relativeFrom="paragraph">
            <wp:posOffset>188595</wp:posOffset>
          </wp:positionV>
          <wp:extent cx="2657475" cy="586105"/>
          <wp:effectExtent l="0" t="0" r="9525" b="4445"/>
          <wp:wrapNone/>
          <wp:docPr id="6" name="obrázek 2" descr="..\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\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586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57216" behindDoc="0" locked="0" layoutInCell="1" allowOverlap="1" wp14:anchorId="11537971" wp14:editId="4A66A0E4">
          <wp:simplePos x="0" y="0"/>
          <wp:positionH relativeFrom="column">
            <wp:posOffset>-880745</wp:posOffset>
          </wp:positionH>
          <wp:positionV relativeFrom="paragraph">
            <wp:posOffset>49530</wp:posOffset>
          </wp:positionV>
          <wp:extent cx="7510780" cy="161290"/>
          <wp:effectExtent l="0" t="0" r="0" b="0"/>
          <wp:wrapNone/>
          <wp:docPr id="5" name="obrázek 3" descr="kuličky do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uličky do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510780" cy="161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C460C" w:rsidRDefault="000B4FFC">
    <w:pPr>
      <w:pStyle w:val="Zpat"/>
      <w:framePr w:wrap="notBeside" w:vAnchor="page" w:hAnchor="page" w:x="11137" w:y="16047"/>
      <w:rPr>
        <w:rStyle w:val="slostrnky"/>
        <w:color w:val="5F5F5F"/>
      </w:rPr>
    </w:pPr>
    <w:r>
      <w:rPr>
        <w:rStyle w:val="slostrnky"/>
        <w:color w:val="5F5F5F"/>
      </w:rPr>
      <w:fldChar w:fldCharType="begin"/>
    </w:r>
    <w:r w:rsidR="00A20802">
      <w:rPr>
        <w:rStyle w:val="slostrnky"/>
        <w:color w:val="5F5F5F"/>
      </w:rPr>
      <w:instrText xml:space="preserve">PAGE  </w:instrText>
    </w:r>
    <w:r>
      <w:rPr>
        <w:rStyle w:val="slostrnky"/>
        <w:color w:val="5F5F5F"/>
      </w:rPr>
      <w:fldChar w:fldCharType="separate"/>
    </w:r>
    <w:r w:rsidR="00452EB9">
      <w:rPr>
        <w:rStyle w:val="slostrnky"/>
        <w:noProof/>
        <w:color w:val="5F5F5F"/>
      </w:rPr>
      <w:t>12</w:t>
    </w:r>
    <w:r>
      <w:rPr>
        <w:rStyle w:val="slostrnky"/>
        <w:color w:val="5F5F5F"/>
      </w:rPr>
      <w:fldChar w:fldCharType="end"/>
    </w:r>
  </w:p>
  <w:p w:rsidR="009C460C" w:rsidRDefault="009C460C" w:rsidP="00566689">
    <w:pPr>
      <w:pStyle w:val="Zpat"/>
      <w:tabs>
        <w:tab w:val="left" w:pos="604"/>
        <w:tab w:val="left" w:pos="836"/>
      </w:tabs>
      <w:rPr>
        <w:color w:val="5F5F5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703" w:rsidRDefault="00A17703">
      <w:r>
        <w:separator/>
      </w:r>
    </w:p>
  </w:footnote>
  <w:footnote w:type="continuationSeparator" w:id="0">
    <w:p w:rsidR="00A17703" w:rsidRDefault="00A17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B4FFC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2080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C460C" w:rsidRDefault="009C460C">
    <w:pPr>
      <w:pStyle w:val="Zhlav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11A4B">
    <w:pPr>
      <w:pStyle w:val="Zhlav"/>
      <w:ind w:right="360"/>
      <w:jc w:val="center"/>
      <w:rPr>
        <w:rFonts w:ascii="Arial" w:hAnsi="Arial" w:cs="Arial"/>
        <w:color w:val="5F5F5F"/>
      </w:rPr>
    </w:pPr>
    <w:r>
      <w:rPr>
        <w:rFonts w:ascii="Arial" w:hAnsi="Arial" w:cs="Arial"/>
        <w:noProof/>
        <w:color w:val="5F5F5F"/>
        <w:lang w:eastAsia="cs-CZ"/>
      </w:rPr>
      <w:drawing>
        <wp:inline distT="0" distB="0" distL="0" distR="0" wp14:anchorId="5253D81E" wp14:editId="7596C9FE">
          <wp:extent cx="2047185" cy="599388"/>
          <wp:effectExtent l="19050" t="0" r="0" b="0"/>
          <wp:docPr id="4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47185" cy="5993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444A"/>
    <w:multiLevelType w:val="hybridMultilevel"/>
    <w:tmpl w:val="395C0B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84DC7"/>
    <w:multiLevelType w:val="hybridMultilevel"/>
    <w:tmpl w:val="268298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F797B"/>
    <w:multiLevelType w:val="hybridMultilevel"/>
    <w:tmpl w:val="865881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B64DD"/>
    <w:multiLevelType w:val="hybridMultilevel"/>
    <w:tmpl w:val="71C2B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trackRevisions/>
  <w:defaultTabStop w:val="708"/>
  <w:hyphenationZone w:val="425"/>
  <w:noPunctuationKerning/>
  <w:characterSpacingControl w:val="doNotCompress"/>
  <w:hdrShapeDefaults>
    <o:shapedefaults v:ext="edit" spidmax="2049">
      <o:colormru v:ext="edit" colors="#eaeaea,#f3f3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33D"/>
    <w:rsid w:val="00011A4B"/>
    <w:rsid w:val="0002153F"/>
    <w:rsid w:val="00040F4A"/>
    <w:rsid w:val="000B4FFC"/>
    <w:rsid w:val="000C33B9"/>
    <w:rsid w:val="000C5E53"/>
    <w:rsid w:val="001911CA"/>
    <w:rsid w:val="00193EB5"/>
    <w:rsid w:val="001B2578"/>
    <w:rsid w:val="001C0788"/>
    <w:rsid w:val="00302637"/>
    <w:rsid w:val="00350B60"/>
    <w:rsid w:val="0037089D"/>
    <w:rsid w:val="003E333D"/>
    <w:rsid w:val="004009D0"/>
    <w:rsid w:val="00406C07"/>
    <w:rsid w:val="004159F6"/>
    <w:rsid w:val="00452EB9"/>
    <w:rsid w:val="00466587"/>
    <w:rsid w:val="00495C50"/>
    <w:rsid w:val="00566689"/>
    <w:rsid w:val="00582D26"/>
    <w:rsid w:val="0058700F"/>
    <w:rsid w:val="005E563E"/>
    <w:rsid w:val="00685C8C"/>
    <w:rsid w:val="00692E35"/>
    <w:rsid w:val="006F7101"/>
    <w:rsid w:val="007205A5"/>
    <w:rsid w:val="007B04BE"/>
    <w:rsid w:val="007F6DCA"/>
    <w:rsid w:val="008F7EDA"/>
    <w:rsid w:val="00932049"/>
    <w:rsid w:val="009A3CE3"/>
    <w:rsid w:val="009C460C"/>
    <w:rsid w:val="00A17703"/>
    <w:rsid w:val="00A20802"/>
    <w:rsid w:val="00AC2081"/>
    <w:rsid w:val="00B00B0A"/>
    <w:rsid w:val="00B15DD4"/>
    <w:rsid w:val="00B5358D"/>
    <w:rsid w:val="00BA5C85"/>
    <w:rsid w:val="00C067E0"/>
    <w:rsid w:val="00C10870"/>
    <w:rsid w:val="00D524D6"/>
    <w:rsid w:val="00D56DF4"/>
    <w:rsid w:val="00DF5D5D"/>
    <w:rsid w:val="00E146A9"/>
    <w:rsid w:val="00E21A55"/>
    <w:rsid w:val="00E43C14"/>
    <w:rsid w:val="00EE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,#f3f3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mt_140127\KREDO\propagacni%20materialy\sablony\KREDO_&#352;ablona%20hlavi&#269;kov&#233;ho%20pap&#237;ru_zkr&#225;cen&#225;%20verze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KREDO_Šablona hlavičkového papíru_zkrácená verze</Template>
  <TotalTime>27</TotalTime>
  <Pages>12</Pages>
  <Words>3963</Words>
  <Characters>23384</Characters>
  <Application>Microsoft Office Word</Application>
  <DocSecurity>0</DocSecurity>
  <Lines>194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Vážení,</vt:lpstr>
    </vt:vector>
  </TitlesOfParts>
  <Company>MSMT</Company>
  <LinksUpToDate>false</LinksUpToDate>
  <CharactersWithSpaces>27293</CharactersWithSpaces>
  <SharedDoc>false</SharedDoc>
  <HLinks>
    <vt:vector size="24" baseType="variant">
      <vt:variant>
        <vt:i4>1048623</vt:i4>
      </vt:variant>
      <vt:variant>
        <vt:i4>1036</vt:i4>
      </vt:variant>
      <vt:variant>
        <vt:i4>1025</vt:i4>
      </vt:variant>
      <vt:variant>
        <vt:i4>1</vt:i4>
      </vt:variant>
      <vt:variant>
        <vt:lpwstr>LOGO IPN pro hl_PAP.jpg</vt:lpwstr>
      </vt:variant>
      <vt:variant>
        <vt:lpwstr/>
      </vt:variant>
      <vt:variant>
        <vt:i4>5308444</vt:i4>
      </vt:variant>
      <vt:variant>
        <vt:i4>1063</vt:i4>
      </vt:variant>
      <vt:variant>
        <vt:i4>1026</vt:i4>
      </vt:variant>
      <vt:variant>
        <vt:i4>1</vt:i4>
      </vt:variant>
      <vt:variant>
        <vt:lpwstr>..\OPVK_hor_zakladni_logolink_CB_cz.jpg</vt:lpwstr>
      </vt:variant>
      <vt:variant>
        <vt:lpwstr/>
      </vt:variant>
      <vt:variant>
        <vt:i4>29294619</vt:i4>
      </vt:variant>
      <vt:variant>
        <vt:i4>-1</vt:i4>
      </vt:variant>
      <vt:variant>
        <vt:i4>1025</vt:i4>
      </vt:variant>
      <vt:variant>
        <vt:i4>0</vt:i4>
      </vt:variant>
      <vt:variant>
        <vt:lpwstr>F:\ZAKAZKY\zedníčková\MŠMT\HLAVIČKOVÝ PAPÍR\pozadí1.jpg</vt:lpwstr>
      </vt:variant>
      <vt:variant>
        <vt:lpwstr/>
      </vt:variant>
      <vt:variant>
        <vt:i4>5243173</vt:i4>
      </vt:variant>
      <vt:variant>
        <vt:i4>-1</vt:i4>
      </vt:variant>
      <vt:variant>
        <vt:i4>2051</vt:i4>
      </vt:variant>
      <vt:variant>
        <vt:i4>1</vt:i4>
      </vt:variant>
      <vt:variant>
        <vt:lpwstr>kuličky dole.jpg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Vážení,</dc:title>
  <dc:creator>Nevěřilová Naďa</dc:creator>
  <cp:lastModifiedBy>Šťavová Jindra</cp:lastModifiedBy>
  <cp:revision>6</cp:revision>
  <cp:lastPrinted>2014-05-20T11:36:00Z</cp:lastPrinted>
  <dcterms:created xsi:type="dcterms:W3CDTF">2014-12-18T11:03:00Z</dcterms:created>
  <dcterms:modified xsi:type="dcterms:W3CDTF">2014-12-18T13:17:00Z</dcterms:modified>
</cp:coreProperties>
</file>